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5EE6" w14:textId="77777777" w:rsidR="00E05ED3" w:rsidRPr="00DD0BA5" w:rsidRDefault="00E05ED3" w:rsidP="00E05ED3">
      <w:pPr>
        <w:pStyle w:val="Heading1"/>
      </w:pPr>
      <w:r>
        <w:t>SWOT Analysis Template</w:t>
      </w:r>
    </w:p>
    <w:p w14:paraId="2FBF3F93" w14:textId="77777777" w:rsidR="00E05ED3" w:rsidRPr="005F514A" w:rsidRDefault="00E05ED3" w:rsidP="00E05ED3">
      <w:pPr>
        <w:rPr>
          <w:rStyle w:val="Heading3Char"/>
          <w:b/>
          <w:i/>
          <w:iCs/>
          <w:color w:val="595959" w:themeColor="text1" w:themeTint="A6"/>
        </w:rPr>
      </w:pPr>
      <w:r w:rsidRPr="005F514A">
        <w:rPr>
          <w:rStyle w:val="Heading3Char"/>
          <w:i/>
          <w:iCs/>
          <w:color w:val="595959" w:themeColor="text1" w:themeTint="A6"/>
        </w:rPr>
        <w:t>[Finish this SWOT analysis by identifying the strengths, weaknesses, opportunities, and threats for your business.]</w:t>
      </w:r>
    </w:p>
    <w:p w14:paraId="56F6AFB6" w14:textId="77777777" w:rsidR="00E05ED3" w:rsidRPr="005F514A" w:rsidRDefault="00E05ED3" w:rsidP="00E05ED3">
      <w:pPr>
        <w:rPr>
          <w:rStyle w:val="Heading3Char"/>
          <w:b/>
          <w:i/>
          <w:iCs/>
          <w:color w:val="595959" w:themeColor="text1" w:themeTint="A6"/>
        </w:rPr>
      </w:pPr>
      <w:r w:rsidRPr="005F514A">
        <w:rPr>
          <w:rStyle w:val="Heading3Char"/>
          <w:bCs/>
          <w:i/>
          <w:iCs/>
          <w:color w:val="595959" w:themeColor="text1" w:themeTint="A6"/>
        </w:rPr>
        <w:t>Strengths</w:t>
      </w:r>
      <w:r w:rsidRPr="005F514A">
        <w:rPr>
          <w:rStyle w:val="Heading3Char"/>
          <w:i/>
          <w:iCs/>
          <w:color w:val="595959" w:themeColor="text1" w:themeTint="A6"/>
        </w:rPr>
        <w:t xml:space="preserve"> – positive internal factors. For instance, what do we excel at?</w:t>
      </w:r>
    </w:p>
    <w:p w14:paraId="50BFB3A1" w14:textId="77777777" w:rsidR="00E05ED3" w:rsidRPr="005F514A" w:rsidRDefault="00E05ED3" w:rsidP="00E05ED3">
      <w:pPr>
        <w:rPr>
          <w:rStyle w:val="Heading3Char"/>
          <w:b/>
          <w:i/>
          <w:iCs/>
          <w:color w:val="595959" w:themeColor="text1" w:themeTint="A6"/>
        </w:rPr>
      </w:pPr>
      <w:r w:rsidRPr="005F514A">
        <w:rPr>
          <w:rStyle w:val="Heading3Char"/>
          <w:bCs/>
          <w:i/>
          <w:iCs/>
          <w:color w:val="595959" w:themeColor="text1" w:themeTint="A6"/>
        </w:rPr>
        <w:t>Weaknesses</w:t>
      </w:r>
      <w:r w:rsidRPr="005F514A">
        <w:rPr>
          <w:rStyle w:val="Heading3Char"/>
          <w:i/>
          <w:iCs/>
          <w:color w:val="595959" w:themeColor="text1" w:themeTint="A6"/>
        </w:rPr>
        <w:t xml:space="preserve"> – negative internal factors. For instance, where do we fall short?</w:t>
      </w:r>
    </w:p>
    <w:p w14:paraId="655B1183" w14:textId="77777777" w:rsidR="00E05ED3" w:rsidRPr="005F514A" w:rsidRDefault="00E05ED3" w:rsidP="00E05ED3">
      <w:pPr>
        <w:rPr>
          <w:rStyle w:val="Heading3Char"/>
          <w:b/>
          <w:i/>
          <w:iCs/>
          <w:color w:val="595959" w:themeColor="text1" w:themeTint="A6"/>
        </w:rPr>
      </w:pPr>
      <w:r w:rsidRPr="005F514A">
        <w:rPr>
          <w:rStyle w:val="Heading3Char"/>
          <w:bCs/>
          <w:i/>
          <w:iCs/>
          <w:color w:val="595959" w:themeColor="text1" w:themeTint="A6"/>
        </w:rPr>
        <w:t>Opportunities</w:t>
      </w:r>
      <w:r w:rsidRPr="005F514A">
        <w:rPr>
          <w:rStyle w:val="Heading3Char"/>
          <w:i/>
          <w:iCs/>
          <w:color w:val="595959" w:themeColor="text1" w:themeTint="A6"/>
        </w:rPr>
        <w:t xml:space="preserve"> – positive external factors. For instance, what significant opportunities exist for us?</w:t>
      </w:r>
    </w:p>
    <w:p w14:paraId="71BBA940" w14:textId="77777777" w:rsidR="00E05ED3" w:rsidRDefault="00E05ED3" w:rsidP="00E05ED3">
      <w:pPr>
        <w:rPr>
          <w:rStyle w:val="Heading3Char"/>
          <w:b/>
          <w:i/>
          <w:iCs/>
          <w:color w:val="595959" w:themeColor="text1" w:themeTint="A6"/>
        </w:rPr>
      </w:pPr>
      <w:r w:rsidRPr="005F514A">
        <w:rPr>
          <w:rStyle w:val="Heading3Char"/>
          <w:bCs/>
          <w:i/>
          <w:iCs/>
          <w:color w:val="595959" w:themeColor="text1" w:themeTint="A6"/>
        </w:rPr>
        <w:t>Threats</w:t>
      </w:r>
      <w:r w:rsidRPr="005F514A">
        <w:rPr>
          <w:rStyle w:val="Heading3Char"/>
          <w:i/>
          <w:iCs/>
          <w:color w:val="595959" w:themeColor="text1" w:themeTint="A6"/>
        </w:rPr>
        <w:t xml:space="preserve"> – negative external factors. For instance, what could potentially pose risks to us?</w:t>
      </w:r>
    </w:p>
    <w:p w14:paraId="4758F436" w14:textId="77777777" w:rsidR="00E05ED3" w:rsidRDefault="00E05ED3" w:rsidP="00E05ED3">
      <w:pPr>
        <w:rPr>
          <w:rFonts w:cstheme="minorHAnsi"/>
          <w:i/>
          <w:lang w:eastAsia="en-AU"/>
        </w:rPr>
      </w:pPr>
    </w:p>
    <w:tbl>
      <w:tblPr>
        <w:tblStyle w:val="BizPlantablewhitetoprow"/>
        <w:tblW w:w="5000" w:type="pct"/>
        <w:tblLayout w:type="fixed"/>
        <w:tblLook w:val="04A0" w:firstRow="1" w:lastRow="0" w:firstColumn="1" w:lastColumn="0" w:noHBand="0" w:noVBand="1"/>
      </w:tblPr>
      <w:tblGrid>
        <w:gridCol w:w="4506"/>
        <w:gridCol w:w="4460"/>
      </w:tblGrid>
      <w:tr w:rsidR="00E05ED3" w:rsidRPr="003F79AA" w14:paraId="39AAF40E" w14:textId="77777777" w:rsidTr="00415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4506" w:type="dxa"/>
          </w:tcPr>
          <w:p w14:paraId="3A9D8E1D" w14:textId="77777777" w:rsidR="00E05ED3" w:rsidRPr="005F514A" w:rsidRDefault="00E05ED3" w:rsidP="00415AF9">
            <w:pPr>
              <w:pStyle w:val="TableHeading"/>
              <w:rPr>
                <w:b/>
                <w:sz w:val="28"/>
              </w:rPr>
            </w:pPr>
            <w:r w:rsidRPr="005F514A">
              <w:rPr>
                <w:b/>
                <w:sz w:val="28"/>
              </w:rPr>
              <w:t>Strengths:</w:t>
            </w:r>
          </w:p>
          <w:p w14:paraId="4961C7D9" w14:textId="77777777" w:rsidR="00E05ED3" w:rsidRPr="005F514A" w:rsidRDefault="00E05ED3" w:rsidP="00415AF9">
            <w:pPr>
              <w:keepNext/>
              <w:spacing w:before="0"/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</w:pPr>
            <w:r w:rsidRPr="005F514A">
              <w:rPr>
                <w:b w:val="0"/>
                <w:bCs/>
                <w:sz w:val="28"/>
              </w:rPr>
              <w:t>[Examples: experienced management team, exclusive intellectual property, substantial financial resources.]</w:t>
            </w:r>
          </w:p>
        </w:tc>
        <w:tc>
          <w:tcPr>
            <w:tcW w:w="4460" w:type="dxa"/>
          </w:tcPr>
          <w:p w14:paraId="473CBD74" w14:textId="77777777" w:rsidR="00E05ED3" w:rsidRPr="005F514A" w:rsidRDefault="00E05ED3" w:rsidP="00415AF9">
            <w:pPr>
              <w:pStyle w:val="TableHeading"/>
              <w:rPr>
                <w:b/>
                <w:sz w:val="28"/>
              </w:rPr>
            </w:pPr>
            <w:r w:rsidRPr="005F514A">
              <w:rPr>
                <w:b/>
                <w:sz w:val="28"/>
              </w:rPr>
              <w:t>Weaknesses:</w:t>
            </w:r>
          </w:p>
          <w:p w14:paraId="003CDB05" w14:textId="77777777" w:rsidR="00E05ED3" w:rsidRPr="005F514A" w:rsidRDefault="00E05ED3" w:rsidP="00415AF9">
            <w:pPr>
              <w:keepNext/>
              <w:spacing w:before="0"/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</w:pPr>
            <w:r w:rsidRPr="005F514A">
              <w:rPr>
                <w:b w:val="0"/>
                <w:bCs/>
                <w:sz w:val="28"/>
              </w:rPr>
              <w:t>[Examples: significant debt levels, negative public perception, unclear market positioning]</w:t>
            </w:r>
          </w:p>
        </w:tc>
      </w:tr>
      <w:tr w:rsidR="00E05ED3" w:rsidRPr="00386E4D" w14:paraId="07A43FCA" w14:textId="77777777" w:rsidTr="00415AF9">
        <w:trPr>
          <w:trHeight w:val="3543"/>
        </w:trPr>
        <w:tc>
          <w:tcPr>
            <w:tcW w:w="4506" w:type="dxa"/>
          </w:tcPr>
          <w:p w14:paraId="6E61A17D" w14:textId="77777777" w:rsidR="00E05ED3" w:rsidRPr="00386E4D" w:rsidRDefault="00E05ED3" w:rsidP="00415AF9">
            <w:pPr>
              <w:pStyle w:val="Inputguidance"/>
            </w:pPr>
          </w:p>
        </w:tc>
        <w:tc>
          <w:tcPr>
            <w:tcW w:w="4460" w:type="dxa"/>
          </w:tcPr>
          <w:p w14:paraId="327D2FEC" w14:textId="77777777" w:rsidR="00E05ED3" w:rsidRPr="00386E4D" w:rsidRDefault="00E05ED3" w:rsidP="00415AF9">
            <w:pPr>
              <w:pStyle w:val="Inputguidance"/>
              <w:rPr>
                <w:rFonts w:eastAsia="Calibri" w:cs="Times New Roman"/>
              </w:rPr>
            </w:pPr>
          </w:p>
        </w:tc>
      </w:tr>
      <w:tr w:rsidR="00E05ED3" w:rsidRPr="00386E4D" w14:paraId="0E28AA5D" w14:textId="77777777" w:rsidTr="00415AF9">
        <w:tc>
          <w:tcPr>
            <w:tcW w:w="4506" w:type="dxa"/>
            <w:shd w:val="clear" w:color="auto" w:fill="auto"/>
          </w:tcPr>
          <w:p w14:paraId="432FCDB2" w14:textId="77777777" w:rsidR="00E05ED3" w:rsidRDefault="00E05ED3" w:rsidP="00415AF9">
            <w:pPr>
              <w:pStyle w:val="TableHeading"/>
              <w:rPr>
                <w:b w:val="0"/>
                <w:sz w:val="28"/>
              </w:rPr>
            </w:pPr>
            <w:r w:rsidRPr="00B660DF">
              <w:rPr>
                <w:sz w:val="28"/>
              </w:rPr>
              <w:lastRenderedPageBreak/>
              <w:t>O</w:t>
            </w:r>
            <w:r w:rsidRPr="00407676">
              <w:rPr>
                <w:b w:val="0"/>
                <w:sz w:val="28"/>
              </w:rPr>
              <w:t xml:space="preserve">pportunities </w:t>
            </w:r>
          </w:p>
          <w:p w14:paraId="1BF3110A" w14:textId="77777777" w:rsidR="00E05ED3" w:rsidRDefault="00E05ED3" w:rsidP="00415AF9">
            <w:pPr>
              <w:pStyle w:val="Inputguidance"/>
            </w:pPr>
            <w:r>
              <w:t>Opportunities:</w:t>
            </w:r>
          </w:p>
          <w:p w14:paraId="56E16B46" w14:textId="77777777" w:rsidR="00E05ED3" w:rsidRPr="00386E4D" w:rsidRDefault="00E05ED3" w:rsidP="00415AF9">
            <w:pPr>
              <w:pStyle w:val="Inputguidance"/>
            </w:pPr>
            <w:r>
              <w:t>[Examples: reduced export taxes, growing demand for the product, widening market gap]</w:t>
            </w:r>
          </w:p>
        </w:tc>
        <w:tc>
          <w:tcPr>
            <w:tcW w:w="4460" w:type="dxa"/>
            <w:shd w:val="clear" w:color="auto" w:fill="auto"/>
          </w:tcPr>
          <w:p w14:paraId="20DD3094" w14:textId="77777777" w:rsidR="00E05ED3" w:rsidRDefault="00E05ED3" w:rsidP="00415AF9">
            <w:pPr>
              <w:pStyle w:val="TableHeading"/>
              <w:rPr>
                <w:b w:val="0"/>
                <w:sz w:val="28"/>
              </w:rPr>
            </w:pPr>
            <w:r w:rsidRPr="00B660DF">
              <w:rPr>
                <w:sz w:val="28"/>
              </w:rPr>
              <w:t>T</w:t>
            </w:r>
            <w:r w:rsidRPr="00407676">
              <w:rPr>
                <w:b w:val="0"/>
                <w:sz w:val="28"/>
              </w:rPr>
              <w:t>hreats</w:t>
            </w:r>
          </w:p>
          <w:p w14:paraId="609D5091" w14:textId="77777777" w:rsidR="00E05ED3" w:rsidRPr="00386E4D" w:rsidRDefault="00E05ED3" w:rsidP="00415AF9">
            <w:pPr>
              <w:pStyle w:val="Inputguidance"/>
              <w:rPr>
                <w:rFonts w:eastAsia="Calibri" w:cs="Times New Roman"/>
              </w:rPr>
            </w:pPr>
            <w:r>
              <w:t>[Examples: emerging competitors, changing government regulations, adverse media exposure]</w:t>
            </w:r>
          </w:p>
        </w:tc>
      </w:tr>
      <w:tr w:rsidR="00E05ED3" w:rsidRPr="00386E4D" w14:paraId="278C01FF" w14:textId="77777777" w:rsidTr="00415AF9">
        <w:trPr>
          <w:trHeight w:val="3467"/>
        </w:trPr>
        <w:tc>
          <w:tcPr>
            <w:tcW w:w="4506" w:type="dxa"/>
          </w:tcPr>
          <w:p w14:paraId="491C638A" w14:textId="77777777" w:rsidR="00E05ED3" w:rsidRPr="00386E4D" w:rsidRDefault="00E05ED3" w:rsidP="00415AF9">
            <w:pPr>
              <w:pStyle w:val="Inputguidance"/>
            </w:pPr>
          </w:p>
        </w:tc>
        <w:tc>
          <w:tcPr>
            <w:tcW w:w="4460" w:type="dxa"/>
          </w:tcPr>
          <w:p w14:paraId="61236FFC" w14:textId="77777777" w:rsidR="00E05ED3" w:rsidRPr="00386E4D" w:rsidRDefault="00E05ED3" w:rsidP="00415AF9">
            <w:pPr>
              <w:pStyle w:val="Inputguidance"/>
              <w:rPr>
                <w:rFonts w:eastAsia="Calibri" w:cs="Times New Roman"/>
              </w:rPr>
            </w:pPr>
          </w:p>
        </w:tc>
      </w:tr>
    </w:tbl>
    <w:p w14:paraId="4135593F" w14:textId="77777777" w:rsidR="00E05ED3" w:rsidRDefault="00E05ED3" w:rsidP="00E05ED3">
      <w:pPr>
        <w:rPr>
          <w:rFonts w:cstheme="minorHAnsi"/>
          <w:i/>
          <w:lang w:eastAsia="en-AU"/>
        </w:rPr>
      </w:pPr>
    </w:p>
    <w:p w14:paraId="36AD95E9" w14:textId="77777777" w:rsidR="00E05ED3" w:rsidRDefault="00E05ED3" w:rsidP="00E05ED3"/>
    <w:p w14:paraId="3C14BD45" w14:textId="77777777" w:rsidR="00624E40" w:rsidRDefault="00624E40"/>
    <w:sectPr w:rsidR="00624E40" w:rsidSect="00E05ED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A392" w14:textId="77777777" w:rsidR="0077433A" w:rsidRDefault="0077433A" w:rsidP="00E05ED3">
      <w:pPr>
        <w:spacing w:before="0" w:after="0" w:line="240" w:lineRule="auto"/>
      </w:pPr>
      <w:r>
        <w:separator/>
      </w:r>
    </w:p>
  </w:endnote>
  <w:endnote w:type="continuationSeparator" w:id="0">
    <w:p w14:paraId="18F48329" w14:textId="77777777" w:rsidR="0077433A" w:rsidRDefault="0077433A" w:rsidP="00E05E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E52F" w14:textId="77777777" w:rsidR="00000000" w:rsidRDefault="00000000">
    <w:pPr>
      <w:pStyle w:val="Footer"/>
    </w:pPr>
    <w:r>
      <w:t>SWOT Analysis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12A5" w14:textId="77777777" w:rsidR="0077433A" w:rsidRDefault="0077433A" w:rsidP="00E05ED3">
      <w:pPr>
        <w:spacing w:before="0" w:after="0" w:line="240" w:lineRule="auto"/>
      </w:pPr>
      <w:r>
        <w:separator/>
      </w:r>
    </w:p>
  </w:footnote>
  <w:footnote w:type="continuationSeparator" w:id="0">
    <w:p w14:paraId="6F1AC885" w14:textId="77777777" w:rsidR="0077433A" w:rsidRDefault="0077433A" w:rsidP="00E05ED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24"/>
    <w:rsid w:val="00624E40"/>
    <w:rsid w:val="0077433A"/>
    <w:rsid w:val="00A10C2D"/>
    <w:rsid w:val="00AD6324"/>
    <w:rsid w:val="00CF5214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32E7-C5D0-420B-ACA8-F42C006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D3"/>
    <w:pPr>
      <w:spacing w:before="120"/>
    </w:pPr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2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2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F5214"/>
    <w:pPr>
      <w:spacing w:before="0" w:after="0" w:line="240" w:lineRule="auto"/>
    </w:pPr>
    <w:rPr>
      <w:rFonts w:asciiTheme="majorHAnsi" w:eastAsiaTheme="majorEastAsia" w:hAnsiTheme="majorHAnsi" w:cstheme="majorBidi"/>
      <w:sz w:val="24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CF521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6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6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32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24"/>
    <w:pPr>
      <w:numPr>
        <w:ilvl w:val="1"/>
      </w:numPr>
      <w:spacing w:before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324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324"/>
    <w:pPr>
      <w:spacing w:before="0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324"/>
    <w:rPr>
      <w:b/>
      <w:bCs/>
      <w:smallCaps/>
      <w:color w:val="0F4761" w:themeColor="accent1" w:themeShade="BF"/>
      <w:spacing w:val="5"/>
    </w:rPr>
  </w:style>
  <w:style w:type="paragraph" w:customStyle="1" w:styleId="Inputguidance">
    <w:name w:val="Input guidance"/>
    <w:basedOn w:val="Normal"/>
    <w:qFormat/>
    <w:rsid w:val="00E05ED3"/>
    <w:pPr>
      <w:spacing w:after="0" w:line="240" w:lineRule="auto"/>
    </w:pPr>
    <w:rPr>
      <w:rFonts w:eastAsia="Times New Roman" w:cstheme="minorHAnsi"/>
      <w:i/>
      <w:color w:val="595959" w:themeColor="text1" w:themeTint="A6"/>
      <w:szCs w:val="20"/>
      <w:lang w:eastAsia="en-AU"/>
    </w:rPr>
  </w:style>
  <w:style w:type="paragraph" w:customStyle="1" w:styleId="TableHeading">
    <w:name w:val="Table Heading"/>
    <w:basedOn w:val="Normal"/>
    <w:rsid w:val="00E05ED3"/>
    <w:pPr>
      <w:keepNext/>
      <w:spacing w:before="80" w:after="80" w:line="240" w:lineRule="auto"/>
    </w:pPr>
    <w:rPr>
      <w:rFonts w:eastAsia="Times New Roman" w:cstheme="minorHAnsi"/>
      <w:b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05ED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D3"/>
    <w:rPr>
      <w:kern w:val="0"/>
      <w:lang w:val="en-AU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E05ED3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05E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D3"/>
    <w:rPr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805</Characters>
  <Application>Microsoft Office Word</Application>
  <DocSecurity>0</DocSecurity>
  <Lines>35</Lines>
  <Paragraphs>15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Nakase</dc:creator>
  <cp:keywords/>
  <dc:description/>
  <cp:lastModifiedBy>Brad Nakase</cp:lastModifiedBy>
  <cp:revision>2</cp:revision>
  <dcterms:created xsi:type="dcterms:W3CDTF">2024-06-09T12:18:00Z</dcterms:created>
  <dcterms:modified xsi:type="dcterms:W3CDTF">2024-06-09T12:18:00Z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04d4b321f761d792036080b034327a947561a7d0e90acea9c8ac8ae9b2268062</vt:lpwstr>
  </property>
</Properties>
</file>